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D074CA" w14:textId="77777777" w:rsidR="0048780F" w:rsidRDefault="0048780F" w:rsidP="0048780F">
      <w:pPr>
        <w:pStyle w:val="BasicParagraph"/>
        <w:suppressAutoHyphens/>
        <w:jc w:val="both"/>
        <w:rPr>
          <w:rFonts w:asciiTheme="minorHAnsi" w:hAnsiTheme="minorHAnsi"/>
          <w:sz w:val="20"/>
          <w:szCs w:val="20"/>
        </w:rPr>
      </w:pPr>
    </w:p>
    <w:p w14:paraId="499CB15E" w14:textId="77777777" w:rsidR="0048780F" w:rsidRDefault="0048780F" w:rsidP="0048780F">
      <w:pPr>
        <w:pStyle w:val="BasicParagraph"/>
        <w:suppressAutoHyphens/>
        <w:jc w:val="both"/>
        <w:rPr>
          <w:rFonts w:asciiTheme="minorHAnsi" w:hAnsiTheme="minorHAnsi"/>
          <w:sz w:val="20"/>
          <w:szCs w:val="20"/>
        </w:rPr>
      </w:pPr>
    </w:p>
    <w:p w14:paraId="7BA5790A" w14:textId="77777777" w:rsidR="0048780F" w:rsidRDefault="0048780F" w:rsidP="0048780F">
      <w:pPr>
        <w:pStyle w:val="BasicParagraph"/>
        <w:suppressAutoHyphens/>
        <w:jc w:val="both"/>
        <w:rPr>
          <w:rFonts w:asciiTheme="minorHAnsi" w:hAnsiTheme="minorHAnsi"/>
          <w:sz w:val="20"/>
          <w:szCs w:val="20"/>
        </w:rPr>
      </w:pPr>
    </w:p>
    <w:p w14:paraId="199DC952" w14:textId="77777777" w:rsidR="0048780F" w:rsidRDefault="0048780F" w:rsidP="0048780F">
      <w:pPr>
        <w:pStyle w:val="BasicParagraph"/>
        <w:suppressAutoHyphens/>
        <w:jc w:val="both"/>
        <w:rPr>
          <w:rFonts w:asciiTheme="minorHAnsi" w:hAnsiTheme="minorHAnsi"/>
          <w:sz w:val="20"/>
          <w:szCs w:val="20"/>
        </w:rPr>
      </w:pPr>
    </w:p>
    <w:p w14:paraId="3C3CC2A4" w14:textId="77777777" w:rsidR="0048780F" w:rsidRDefault="0048780F" w:rsidP="0048780F">
      <w:pPr>
        <w:pStyle w:val="BasicParagraph"/>
        <w:suppressAutoHyphens/>
        <w:jc w:val="both"/>
        <w:rPr>
          <w:rFonts w:asciiTheme="minorHAnsi" w:hAnsiTheme="minorHAnsi"/>
          <w:sz w:val="20"/>
          <w:szCs w:val="20"/>
        </w:rPr>
      </w:pPr>
    </w:p>
    <w:p w14:paraId="0900CB7F" w14:textId="5541112D" w:rsidR="0048780F" w:rsidRDefault="0048780F" w:rsidP="0048780F">
      <w:pPr>
        <w:pStyle w:val="BasicParagraph"/>
        <w:suppressAutoHyphens/>
        <w:jc w:val="both"/>
        <w:rPr>
          <w:rFonts w:asciiTheme="minorHAnsi" w:hAnsiTheme="minorHAnsi"/>
          <w:sz w:val="20"/>
          <w:szCs w:val="20"/>
        </w:rPr>
      </w:pPr>
      <w:r>
        <w:rPr>
          <w:rFonts w:asciiTheme="minorHAnsi" w:hAnsiTheme="minorHAnsi"/>
          <w:sz w:val="20"/>
          <w:szCs w:val="20"/>
        </w:rPr>
        <w:t>Sarah Chalkie Cloonan.</w:t>
      </w:r>
    </w:p>
    <w:p w14:paraId="7E8B8805" w14:textId="77777777" w:rsidR="0048780F" w:rsidRDefault="0048780F" w:rsidP="0048780F">
      <w:pPr>
        <w:pStyle w:val="BasicParagraph"/>
        <w:suppressAutoHyphens/>
        <w:jc w:val="both"/>
        <w:rPr>
          <w:rFonts w:asciiTheme="minorHAnsi" w:hAnsiTheme="minorHAnsi"/>
          <w:sz w:val="20"/>
          <w:szCs w:val="20"/>
        </w:rPr>
      </w:pPr>
      <w:r>
        <w:rPr>
          <w:rFonts w:asciiTheme="minorHAnsi" w:hAnsiTheme="minorHAnsi"/>
          <w:sz w:val="20"/>
          <w:szCs w:val="20"/>
        </w:rPr>
        <w:t>Introduction to joint Publication “Active Passive” RCA Graduate Diploma February 2020.</w:t>
      </w:r>
    </w:p>
    <w:p w14:paraId="49EE338F" w14:textId="77777777" w:rsidR="0048780F" w:rsidRDefault="0048780F" w:rsidP="0048780F">
      <w:pPr>
        <w:pStyle w:val="BasicParagraph"/>
        <w:suppressAutoHyphens/>
        <w:jc w:val="both"/>
        <w:rPr>
          <w:rFonts w:asciiTheme="minorHAnsi" w:hAnsiTheme="minorHAnsi"/>
          <w:sz w:val="20"/>
          <w:szCs w:val="20"/>
        </w:rPr>
      </w:pPr>
    </w:p>
    <w:p w14:paraId="523CC5A5" w14:textId="77777777" w:rsidR="0048780F" w:rsidRDefault="0048780F" w:rsidP="0048780F">
      <w:pPr>
        <w:pStyle w:val="BasicParagraph"/>
        <w:suppressAutoHyphens/>
        <w:jc w:val="both"/>
        <w:rPr>
          <w:rFonts w:asciiTheme="minorHAnsi" w:hAnsiTheme="minorHAnsi"/>
          <w:sz w:val="20"/>
          <w:szCs w:val="20"/>
        </w:rPr>
      </w:pPr>
    </w:p>
    <w:p w14:paraId="00773CD6" w14:textId="77777777" w:rsidR="0048780F" w:rsidRPr="000B16E8" w:rsidRDefault="0048780F" w:rsidP="0048780F">
      <w:pPr>
        <w:pStyle w:val="BasicParagraph"/>
        <w:suppressAutoHyphens/>
        <w:jc w:val="both"/>
        <w:rPr>
          <w:rFonts w:asciiTheme="minorHAnsi" w:hAnsiTheme="minorHAnsi"/>
          <w:sz w:val="20"/>
          <w:szCs w:val="20"/>
        </w:rPr>
      </w:pPr>
      <w:r w:rsidRPr="000B16E8">
        <w:rPr>
          <w:rFonts w:asciiTheme="minorHAnsi" w:hAnsiTheme="minorHAnsi"/>
          <w:sz w:val="20"/>
          <w:szCs w:val="20"/>
        </w:rPr>
        <w:t xml:space="preserve">This publication brings together a collection of works from an interdisciplinary group of art practitioners, curators and writers from the Royal College of Art. Together they  explore their experiences of Active and Passive through a variety of mediums, taking the traditional definition of active ”engaging with something” alongside passive “allowing something to happen without resistance”. This group of practitioners explore and expand these definitions as they relate to making and experiencing artworks and the dual relationship of process and participation. </w:t>
      </w:r>
    </w:p>
    <w:p w14:paraId="796594D0" w14:textId="77777777" w:rsidR="0048780F" w:rsidRPr="000B16E8" w:rsidRDefault="0048780F" w:rsidP="0048780F">
      <w:pPr>
        <w:pStyle w:val="BasicParagraph"/>
        <w:suppressAutoHyphens/>
        <w:jc w:val="both"/>
        <w:rPr>
          <w:rFonts w:asciiTheme="minorHAnsi" w:hAnsiTheme="minorHAnsi"/>
          <w:sz w:val="20"/>
          <w:szCs w:val="20"/>
        </w:rPr>
      </w:pPr>
      <w:r w:rsidRPr="000B16E8">
        <w:rPr>
          <w:rFonts w:asciiTheme="minorHAnsi" w:hAnsiTheme="minorHAnsi"/>
          <w:sz w:val="20"/>
          <w:szCs w:val="20"/>
        </w:rPr>
        <w:t xml:space="preserve"> </w:t>
      </w:r>
    </w:p>
    <w:p w14:paraId="490ADCCF" w14:textId="77777777" w:rsidR="0048780F" w:rsidRPr="000B16E8" w:rsidRDefault="0048780F" w:rsidP="0048780F">
      <w:pPr>
        <w:pStyle w:val="BasicParagraph"/>
        <w:suppressAutoHyphens/>
        <w:jc w:val="both"/>
        <w:rPr>
          <w:rFonts w:asciiTheme="minorHAnsi" w:hAnsiTheme="minorHAnsi"/>
          <w:sz w:val="20"/>
          <w:szCs w:val="20"/>
        </w:rPr>
      </w:pPr>
      <w:r w:rsidRPr="000B16E8">
        <w:rPr>
          <w:rFonts w:asciiTheme="minorHAnsi" w:hAnsiTheme="minorHAnsi"/>
          <w:sz w:val="20"/>
          <w:szCs w:val="20"/>
        </w:rPr>
        <w:t>Olivia Wells’ mixed media images explore active and passive engagement with an image through materiality and layers, cultivating environments through image interaction and curation.  Nathan Graves Tuttle’s photography practice is processed based, he discusses the distinction between the notions of looking and seeing.  Hanna Margetson-Rushmore uses text and symbols either passively as the piece changes and develops of its own accord or actively through the viewers’ intervention.  Sarah Chalkie Cloonan’s paintings and synergistic objects passively engage with their audience without enquiry, although they may be actively understood though her choice of materials. Nayanika Singh also uses text, here to transpose the passivity of thinking while visiting an exhibition through the act of reading, leading audiences to forge their own journey.</w:t>
      </w:r>
    </w:p>
    <w:p w14:paraId="40C5D022" w14:textId="77777777" w:rsidR="0048780F" w:rsidRPr="000B16E8" w:rsidRDefault="0048780F" w:rsidP="0048780F">
      <w:pPr>
        <w:pStyle w:val="BasicParagraph"/>
        <w:suppressAutoHyphens/>
        <w:jc w:val="both"/>
        <w:rPr>
          <w:rFonts w:asciiTheme="minorHAnsi" w:hAnsiTheme="minorHAnsi"/>
          <w:sz w:val="20"/>
          <w:szCs w:val="20"/>
        </w:rPr>
      </w:pPr>
      <w:r w:rsidRPr="000B16E8">
        <w:rPr>
          <w:rFonts w:asciiTheme="minorHAnsi" w:hAnsiTheme="minorHAnsi"/>
          <w:sz w:val="20"/>
          <w:szCs w:val="20"/>
        </w:rPr>
        <w:t xml:space="preserve"> </w:t>
      </w:r>
    </w:p>
    <w:p w14:paraId="7FCE8782" w14:textId="77777777" w:rsidR="0048780F" w:rsidRPr="000B16E8" w:rsidRDefault="0048780F" w:rsidP="0048780F">
      <w:pPr>
        <w:jc w:val="both"/>
        <w:rPr>
          <w:sz w:val="20"/>
          <w:szCs w:val="20"/>
        </w:rPr>
      </w:pPr>
      <w:r w:rsidRPr="000B16E8">
        <w:rPr>
          <w:sz w:val="20"/>
          <w:szCs w:val="20"/>
        </w:rPr>
        <w:t>For these artists, visibility is the conjunction of activity and passivity. It is the virtue of imagination that leads to perception, on occasion making the invisible visible and conversely the visible invisible. The works in this publication are curated to document and rethink not only what it means to be active and passive but purposing how these terms can be approached.</w:t>
      </w:r>
    </w:p>
    <w:p w14:paraId="61FDA241" w14:textId="77777777" w:rsidR="0048780F" w:rsidRDefault="0048780F">
      <w:pPr>
        <w:rPr>
          <w:rFonts w:cs="MinionPro-Regular"/>
          <w:color w:val="050302"/>
          <w:lang w:val="en-US"/>
        </w:rPr>
      </w:pPr>
      <w:r>
        <w:rPr>
          <w:color w:val="050302"/>
        </w:rPr>
        <w:br w:type="page"/>
      </w:r>
    </w:p>
    <w:p w14:paraId="27F6603D" w14:textId="0D787A6F" w:rsidR="00EB110C" w:rsidRDefault="00EB110C" w:rsidP="00EA1090">
      <w:pPr>
        <w:pStyle w:val="BasicParagraph"/>
        <w:suppressAutoHyphens/>
        <w:jc w:val="both"/>
        <w:rPr>
          <w:rFonts w:asciiTheme="minorHAnsi" w:hAnsiTheme="minorHAnsi"/>
          <w:color w:val="050302"/>
        </w:rPr>
      </w:pPr>
      <w:r>
        <w:rPr>
          <w:rFonts w:asciiTheme="minorHAnsi" w:hAnsiTheme="minorHAnsi"/>
          <w:color w:val="050302"/>
        </w:rPr>
        <w:t>Sarah Chalkie Cloonan</w:t>
      </w:r>
    </w:p>
    <w:p w14:paraId="3CBE9F19" w14:textId="1B480BF0" w:rsidR="00EB110C" w:rsidRDefault="00EB110C" w:rsidP="00EA1090">
      <w:pPr>
        <w:pStyle w:val="BasicParagraph"/>
        <w:suppressAutoHyphens/>
        <w:jc w:val="both"/>
        <w:rPr>
          <w:rFonts w:asciiTheme="minorHAnsi" w:hAnsiTheme="minorHAnsi"/>
          <w:color w:val="050302"/>
        </w:rPr>
      </w:pPr>
      <w:r>
        <w:rPr>
          <w:rFonts w:asciiTheme="minorHAnsi" w:hAnsiTheme="minorHAnsi"/>
          <w:color w:val="050302"/>
        </w:rPr>
        <w:t xml:space="preserve">500 words for project 6 “Launch” </w:t>
      </w:r>
    </w:p>
    <w:p w14:paraId="6A472F5F" w14:textId="35FEA551" w:rsidR="00EB110C" w:rsidRDefault="00EB110C" w:rsidP="00EA1090">
      <w:pPr>
        <w:pStyle w:val="BasicParagraph"/>
        <w:suppressAutoHyphens/>
        <w:jc w:val="both"/>
        <w:rPr>
          <w:rFonts w:asciiTheme="minorHAnsi" w:hAnsiTheme="minorHAnsi"/>
          <w:color w:val="050302"/>
        </w:rPr>
      </w:pPr>
      <w:r>
        <w:rPr>
          <w:rFonts w:asciiTheme="minorHAnsi" w:hAnsiTheme="minorHAnsi"/>
          <w:color w:val="050302"/>
        </w:rPr>
        <w:t>Active Passive</w:t>
      </w:r>
    </w:p>
    <w:p w14:paraId="1A1562ED" w14:textId="77777777" w:rsidR="00EB110C" w:rsidRDefault="00EB110C" w:rsidP="00EA1090">
      <w:pPr>
        <w:pStyle w:val="BasicParagraph"/>
        <w:suppressAutoHyphens/>
        <w:jc w:val="both"/>
        <w:rPr>
          <w:rFonts w:asciiTheme="minorHAnsi" w:hAnsiTheme="minorHAnsi"/>
          <w:color w:val="050302"/>
        </w:rPr>
      </w:pPr>
    </w:p>
    <w:p w14:paraId="7B311D14" w14:textId="158EBE26" w:rsidR="00EA1090" w:rsidRPr="00EA1090" w:rsidRDefault="00EB110C" w:rsidP="00EA1090">
      <w:pPr>
        <w:pStyle w:val="BasicParagraph"/>
        <w:suppressAutoHyphens/>
        <w:jc w:val="both"/>
        <w:rPr>
          <w:rFonts w:asciiTheme="minorHAnsi" w:hAnsiTheme="minorHAnsi"/>
          <w:color w:val="050302"/>
        </w:rPr>
      </w:pPr>
      <w:r>
        <w:rPr>
          <w:rFonts w:asciiTheme="minorHAnsi" w:hAnsiTheme="minorHAnsi"/>
          <w:color w:val="050302"/>
        </w:rPr>
        <w:t>In</w:t>
      </w:r>
      <w:r w:rsidR="00EA1090" w:rsidRPr="00EA1090">
        <w:rPr>
          <w:rFonts w:asciiTheme="minorHAnsi" w:hAnsiTheme="minorHAnsi"/>
          <w:color w:val="050302"/>
        </w:rPr>
        <w:t xml:space="preserve"> my practice of searching out and combining images, objects and materials that have other uses or meanings a synergistic object or surface is created. Part of this process is an active, passive response to the question I’m researching or the materials that I have at hand.</w:t>
      </w:r>
    </w:p>
    <w:p w14:paraId="04F4ABF3" w14:textId="0322BF34" w:rsidR="00EA1090" w:rsidRPr="00EA1090" w:rsidRDefault="00EA1090" w:rsidP="00EA1090">
      <w:pPr>
        <w:pStyle w:val="BasicParagraph"/>
        <w:suppressAutoHyphens/>
        <w:jc w:val="both"/>
        <w:rPr>
          <w:rFonts w:asciiTheme="minorHAnsi" w:hAnsiTheme="minorHAnsi"/>
          <w:color w:val="050302"/>
        </w:rPr>
      </w:pPr>
      <w:r w:rsidRPr="00EA1090">
        <w:rPr>
          <w:rFonts w:asciiTheme="minorHAnsi" w:hAnsiTheme="minorHAnsi"/>
          <w:color w:val="050302"/>
        </w:rPr>
        <w:t>In presenting my paintings and object as metaphors, while focusing on my role as a woman, set against that of a woman, parent, wife and daughter, I am actively exploring my female role in contemporary society. This is the space I’m speaking from; it is a narrow realm and I set out to do this in an honest, ordinary way like spreading jam on toast or pouring tea. I inhabit this place created by society – a space provided for me in between their expectations and mine.  My motivation is to explore the challenges I face working in this space and present it in a contemporary light allowing the audience to reach their own conclusions. I wish to anchor my practice and be fairly read so have taken on the stance of Mark Bradford’s “Social Abstraction” to do so. I do not want to dwell on the unsolvable but look over the horizon to the possible, elevating the mundane by weaving it into the solutions thereby celebrating the domestic. By using familiar domestic materials in combination with materials that speak of bigger issues the domestic is given a context in which it may be read passively or actively thereby uniting both.</w:t>
      </w:r>
      <w:r>
        <w:rPr>
          <w:rFonts w:asciiTheme="minorHAnsi" w:hAnsiTheme="minorHAnsi"/>
          <w:color w:val="050302"/>
        </w:rPr>
        <w:t xml:space="preserve"> </w:t>
      </w:r>
      <w:r>
        <w:rPr>
          <w:color w:val="050302"/>
        </w:rPr>
        <w:t xml:space="preserve">In </w:t>
      </w:r>
      <w:r w:rsidRPr="00EA1090">
        <w:rPr>
          <w:rFonts w:asciiTheme="minorHAnsi" w:hAnsiTheme="minorHAnsi"/>
          <w:i/>
          <w:iCs/>
          <w:color w:val="050302"/>
        </w:rPr>
        <w:t>Vessel 1, 2020</w:t>
      </w:r>
      <w:r w:rsidRPr="00EA1090">
        <w:rPr>
          <w:rFonts w:asciiTheme="minorHAnsi" w:hAnsiTheme="minorHAnsi"/>
          <w:color w:val="050302"/>
        </w:rPr>
        <w:t xml:space="preserve"> - the larger bowl in my collection of Cosmic Vessels- was made in the kitchen using paper from the cheese, labels from the jam and thinly cut print outs of the Magna Carter, which promised to protect.  Christmas tissue paper completes it. It was crafted in the manner of the moon jar- the process of correction creating beauty.</w:t>
      </w:r>
      <w:r>
        <w:rPr>
          <w:color w:val="050302"/>
        </w:rPr>
        <w:t xml:space="preserve"> </w:t>
      </w:r>
      <w:r>
        <w:rPr>
          <w:rFonts w:asciiTheme="minorHAnsi" w:hAnsiTheme="minorHAnsi"/>
          <w:color w:val="050302"/>
        </w:rPr>
        <w:t xml:space="preserve">While in </w:t>
      </w:r>
      <w:r w:rsidRPr="00EA1090">
        <w:rPr>
          <w:rFonts w:asciiTheme="minorHAnsi" w:hAnsiTheme="minorHAnsi"/>
          <w:i/>
          <w:iCs/>
          <w:color w:val="050302"/>
        </w:rPr>
        <w:t>Canvas 1. Love Letter, Clay and Brown Paper. 2020.</w:t>
      </w:r>
      <w:r>
        <w:rPr>
          <w:rFonts w:asciiTheme="minorHAnsi" w:hAnsiTheme="minorHAnsi"/>
          <w:color w:val="050302"/>
        </w:rPr>
        <w:t xml:space="preserve"> t</w:t>
      </w:r>
      <w:r w:rsidRPr="00EA1090">
        <w:rPr>
          <w:rFonts w:asciiTheme="minorHAnsi" w:hAnsiTheme="minorHAnsi"/>
          <w:color w:val="050302"/>
        </w:rPr>
        <w:t>he ingredients are held together with gesso- a Chalkie powder bound with skin glue, and kitchen cupboard ingredients pasted on a tightly stretched canvas, placed on a handcrafted frame.</w:t>
      </w:r>
      <w:r>
        <w:rPr>
          <w:rFonts w:asciiTheme="minorHAnsi" w:hAnsiTheme="minorHAnsi"/>
          <w:color w:val="050302"/>
        </w:rPr>
        <w:t xml:space="preserve"> Finally, in </w:t>
      </w:r>
      <w:r w:rsidRPr="00EA1090">
        <w:rPr>
          <w:rFonts w:asciiTheme="minorHAnsi" w:hAnsiTheme="minorHAnsi"/>
          <w:i/>
          <w:iCs/>
          <w:color w:val="050302"/>
        </w:rPr>
        <w:t>In Failing light, 2019,</w:t>
      </w:r>
      <w:r w:rsidRPr="00EA1090">
        <w:rPr>
          <w:rFonts w:asciiTheme="minorHAnsi" w:hAnsiTheme="minorHAnsi"/>
          <w:color w:val="050302"/>
        </w:rPr>
        <w:t xml:space="preserve"> I collaged an amalgamation of narrowly sliced photographs of Battersea Park adjacent to the River Thames at twilight. Light changes our relationship to our surroundings, it changes the rhythms of our lives and our emotions. The collage consists of two photos depicting the moment before and after the park lights come on. The combination of the images allows the audience to re-experience the scene triggered by the failing of natural light. Although words help my works to be viewed actively, I agree with Louise Bourgeois that, “An artist’s words are always to be taken cautiously. The finished work is often a stranger to, and sometimes very much at odds with what the artist felt or wished to express. </w:t>
      </w:r>
      <w:r w:rsidR="00EB110C" w:rsidRPr="00EA1090">
        <w:rPr>
          <w:rFonts w:asciiTheme="minorHAnsi" w:hAnsiTheme="minorHAnsi"/>
          <w:color w:val="050302"/>
        </w:rPr>
        <w:t>…. The</w:t>
      </w:r>
      <w:r w:rsidRPr="00EA1090">
        <w:rPr>
          <w:rFonts w:asciiTheme="minorHAnsi" w:hAnsiTheme="minorHAnsi"/>
          <w:color w:val="050302"/>
        </w:rPr>
        <w:t xml:space="preserve"> core of his original impulse is to be found, if at all, in the work itself.” </w:t>
      </w:r>
      <w:r>
        <w:rPr>
          <w:rFonts w:asciiTheme="minorHAnsi" w:hAnsiTheme="minorHAnsi"/>
          <w:color w:val="050302"/>
        </w:rPr>
        <w:fldChar w:fldCharType="begin"/>
      </w:r>
      <w:r>
        <w:rPr>
          <w:rFonts w:asciiTheme="minorHAnsi" w:hAnsiTheme="minorHAnsi"/>
          <w:color w:val="050302"/>
        </w:rPr>
        <w:instrText xml:space="preserve"> ADDIN ZOTERO_BIBL {"uncited":[],"omitted":[],"custom":[]} CSL_BIBLIOGRAPHY </w:instrText>
      </w:r>
      <w:r>
        <w:rPr>
          <w:rFonts w:asciiTheme="minorHAnsi" w:hAnsiTheme="minorHAnsi"/>
          <w:color w:val="050302"/>
        </w:rPr>
        <w:fldChar w:fldCharType="separate"/>
      </w:r>
      <w:r>
        <w:rPr>
          <w:rFonts w:asciiTheme="minorHAnsi" w:hAnsiTheme="minorHAnsi"/>
          <w:noProof/>
          <w:color w:val="050302"/>
        </w:rPr>
        <w:t xml:space="preserve"> </w:t>
      </w:r>
      <w:r>
        <w:rPr>
          <w:rFonts w:asciiTheme="minorHAnsi" w:hAnsiTheme="minorHAnsi"/>
          <w:color w:val="050302"/>
        </w:rPr>
        <w:fldChar w:fldCharType="end"/>
      </w:r>
      <w:r w:rsidRPr="0048780F">
        <w:rPr>
          <w:rStyle w:val="FootnoteReference"/>
        </w:rPr>
        <w:footnoteReference w:id="1"/>
      </w:r>
    </w:p>
    <w:sectPr w:rsidR="00EA1090" w:rsidRPr="00EA1090" w:rsidSect="009B44EE">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51F5E5" w14:textId="77777777" w:rsidR="00EA0598" w:rsidRDefault="00EA0598" w:rsidP="00EA1090">
      <w:r>
        <w:separator/>
      </w:r>
    </w:p>
  </w:endnote>
  <w:endnote w:type="continuationSeparator" w:id="0">
    <w:p w14:paraId="7BB06D61" w14:textId="77777777" w:rsidR="00EA0598" w:rsidRDefault="00EA0598" w:rsidP="00EA1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MinionPro-Regular">
    <w:altName w:val="Calibri"/>
    <w:panose1 w:val="020B0604020202020204"/>
    <w:charset w:val="4D"/>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356135" w14:textId="77777777" w:rsidR="00EA0598" w:rsidRDefault="00EA0598" w:rsidP="00EA1090">
      <w:r>
        <w:separator/>
      </w:r>
    </w:p>
  </w:footnote>
  <w:footnote w:type="continuationSeparator" w:id="0">
    <w:p w14:paraId="4960313A" w14:textId="77777777" w:rsidR="00EA0598" w:rsidRDefault="00EA0598" w:rsidP="00EA1090">
      <w:r>
        <w:continuationSeparator/>
      </w:r>
    </w:p>
  </w:footnote>
  <w:footnote w:id="1">
    <w:p w14:paraId="33E3F2D0" w14:textId="46B84764" w:rsidR="00EA1090" w:rsidRDefault="00EA1090">
      <w:pPr>
        <w:pStyle w:val="FootnoteText"/>
      </w:pPr>
      <w:r w:rsidRPr="0048780F">
        <w:rPr>
          <w:rStyle w:val="FootnoteReference"/>
        </w:rPr>
        <w:footnoteRef/>
      </w:r>
      <w:r>
        <w:t xml:space="preserve"> </w:t>
      </w:r>
      <w:r>
        <w:fldChar w:fldCharType="begin"/>
      </w:r>
      <w:r>
        <w:instrText xml:space="preserve"> ADDIN ZOTERO_ITEM CSL_CITATION {"citationID":"GLA49VBK","properties":{"formattedCitation":"\\uc0\\u8216{}Bourgeois-Stmnt.Pdf\\uc0\\u8217{} &lt;http://timothyquigley.net/vcs/bourgeois-stmnt.pdf&gt; [accessed 22 February 2020].","plainCitation":"‘Bourgeois-Stmnt.Pdf’ &lt;http://timothyquigley.net/vcs/bourgeois-stmnt.pdf&gt; [accessed 22 February 2020].","noteIndex":1},"citationItems":[{"id":493,"uris":["http://zotero.org/users/5983887/items/9ESZIEFL"],"uri":["http://zotero.org/users/5983887/items/9ESZIEFL"],"itemData":{"id":493,"type":"article","title":"bourgeois-stmnt.pdf","URL":"http://timothyquigley.net/vcs/bourgeois-stmnt.pdf","accessed":{"date-parts":[["2020",2,22]]}}}],"schema":"https://github.com/citation-style-language/schema/raw/master/csl-citation.json"} </w:instrText>
      </w:r>
      <w:r>
        <w:fldChar w:fldCharType="separate"/>
      </w:r>
      <w:r w:rsidRPr="00EA1090">
        <w:rPr>
          <w:rFonts w:ascii="Calibri" w:cs="Times New Roman"/>
        </w:rPr>
        <w:t>‘Bourgeois-Stmnt.Pdf’ &lt;http://timothyquigley.net/vcs/bourgeois-stmnt.pdf&gt; [accessed 22 February 2020].</w:t>
      </w:r>
      <w:r>
        <w:fldChar w:fldCharType="end"/>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090"/>
    <w:rsid w:val="00290B19"/>
    <w:rsid w:val="002A6BA1"/>
    <w:rsid w:val="0048780F"/>
    <w:rsid w:val="0057719F"/>
    <w:rsid w:val="009659AC"/>
    <w:rsid w:val="009B44EE"/>
    <w:rsid w:val="00D20ABA"/>
    <w:rsid w:val="00EA0598"/>
    <w:rsid w:val="00EA1090"/>
    <w:rsid w:val="00EB11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4362754"/>
  <w15:chartTrackingRefBased/>
  <w15:docId w15:val="{5FE099D9-E027-D142-A2A2-A75AD3EEA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EA1090"/>
    <w:pPr>
      <w:autoSpaceDE w:val="0"/>
      <w:autoSpaceDN w:val="0"/>
      <w:adjustRightInd w:val="0"/>
      <w:spacing w:line="288" w:lineRule="auto"/>
      <w:textAlignment w:val="center"/>
    </w:pPr>
    <w:rPr>
      <w:rFonts w:ascii="MinionPro-Regular" w:hAnsi="MinionPro-Regular" w:cs="MinionPro-Regular"/>
      <w:color w:val="000000"/>
      <w:lang w:val="en-US"/>
    </w:rPr>
  </w:style>
  <w:style w:type="paragraph" w:styleId="FootnoteText">
    <w:name w:val="footnote text"/>
    <w:basedOn w:val="Normal"/>
    <w:link w:val="FootnoteTextChar"/>
    <w:uiPriority w:val="99"/>
    <w:semiHidden/>
    <w:unhideWhenUsed/>
    <w:rsid w:val="00EA1090"/>
    <w:rPr>
      <w:sz w:val="20"/>
      <w:szCs w:val="20"/>
    </w:rPr>
  </w:style>
  <w:style w:type="character" w:customStyle="1" w:styleId="FootnoteTextChar">
    <w:name w:val="Footnote Text Char"/>
    <w:basedOn w:val="DefaultParagraphFont"/>
    <w:link w:val="FootnoteText"/>
    <w:uiPriority w:val="99"/>
    <w:semiHidden/>
    <w:rsid w:val="00EA1090"/>
    <w:rPr>
      <w:sz w:val="20"/>
      <w:szCs w:val="20"/>
    </w:rPr>
  </w:style>
  <w:style w:type="character" w:styleId="FootnoteReference">
    <w:name w:val="footnote reference"/>
    <w:basedOn w:val="DefaultParagraphFont"/>
    <w:uiPriority w:val="99"/>
    <w:semiHidden/>
    <w:unhideWhenUsed/>
    <w:rsid w:val="00EA1090"/>
    <w:rPr>
      <w:vertAlign w:val="superscript"/>
    </w:rPr>
  </w:style>
  <w:style w:type="paragraph" w:styleId="Bibliography">
    <w:name w:val="Bibliography"/>
    <w:basedOn w:val="Normal"/>
    <w:next w:val="Normal"/>
    <w:uiPriority w:val="37"/>
    <w:unhideWhenUsed/>
    <w:rsid w:val="00EA1090"/>
    <w:pPr>
      <w:spacing w:after="240"/>
      <w:ind w:left="720" w:hanging="720"/>
    </w:pPr>
  </w:style>
  <w:style w:type="character" w:styleId="EndnoteReference">
    <w:name w:val="endnote reference"/>
    <w:basedOn w:val="DefaultParagraphFont"/>
    <w:uiPriority w:val="99"/>
    <w:semiHidden/>
    <w:unhideWhenUsed/>
    <w:rsid w:val="0048780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729</Words>
  <Characters>4161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cloonan</dc:creator>
  <cp:keywords/>
  <dc:description/>
  <cp:lastModifiedBy>sarah cloonan</cp:lastModifiedBy>
  <cp:revision>1</cp:revision>
  <dcterms:created xsi:type="dcterms:W3CDTF">2020-02-25T22:41:00Z</dcterms:created>
  <dcterms:modified xsi:type="dcterms:W3CDTF">2020-02-25T22:56:00Z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zotero-version="5.0.82"&gt;&lt;session id="mQvHtNal"/&gt;&lt;style id="http://www.zotero.org/styles/modern-humanities-research-association" hasBibliography="1" bibliographyStyleHasBeenSet="1"/&gt;&lt;prefs&gt;&lt;pref name="fieldType" value="Field"/&gt;&lt;pref </vt:lpwstr>
  </property>
  <property fmtid="{D5CDD505-2E9C-101B-9397-08002B2CF9AE}" pid="3" name="ZOTERO_PREF_2">
    <vt:lpwstr>name="noteType" value="1"/&gt;&lt;/prefs&gt;&lt;/data&gt;</vt:lpwstr>
  </property>
</Properties>
</file>